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0B907">
      <w:pPr>
        <w:spacing w:before="120" w:after="120"/>
        <w:jc w:val="center"/>
        <w:rPr>
          <w:b/>
          <w:bCs/>
          <w:sz w:val="24"/>
          <w:szCs w:val="24"/>
        </w:rPr>
      </w:pPr>
      <w:r>
        <w:rPr>
          <w:b/>
          <w:bCs/>
          <w:sz w:val="24"/>
          <w:szCs w:val="24"/>
        </w:rPr>
        <w:t>PROYECTO DE ORDENANZA</w:t>
      </w:r>
    </w:p>
    <w:p w14:paraId="1F41B76B">
      <w:pPr>
        <w:spacing w:before="120" w:after="120"/>
        <w:jc w:val="center"/>
        <w:rPr>
          <w:b/>
          <w:sz w:val="24"/>
          <w:szCs w:val="24"/>
        </w:rPr>
      </w:pPr>
      <w:r>
        <w:rPr>
          <w:b/>
          <w:sz w:val="24"/>
          <w:szCs w:val="24"/>
        </w:rPr>
        <w:t>Audiencia Pública Obligatoria en el Tratamiento de Urgencia de Ordenanzas de Doble Lectura</w:t>
      </w:r>
    </w:p>
    <w:p w14:paraId="3D5DD5EF"/>
    <w:p w14:paraId="57F8D445">
      <w:pPr>
        <w:spacing w:after="120"/>
        <w:jc w:val="both"/>
      </w:pPr>
      <w:r>
        <w:rPr>
          <w:b/>
          <w:bCs/>
          <w:sz w:val="24"/>
          <w:szCs w:val="24"/>
        </w:rPr>
        <w:t xml:space="preserve">VISTO: </w:t>
      </w:r>
      <w:r>
        <w:rPr>
          <w:sz w:val="24"/>
          <w:szCs w:val="24"/>
        </w:rPr>
        <w:t>La necesidad de incentivar y propiciar la participación de la ciudadanía en el tratamiento de los proyectos de ordenanza de mayor relevancia para el Municipio y la sociedad en su conjunto, y lo dispuesto por el Preámbulo y los artículos 15, 43 inciso b), 58, 60 y 215 y subsiguientes de la Carta Orgánica Municipal de la Ciudad de Hernando;</w:t>
      </w:r>
    </w:p>
    <w:p w14:paraId="7ABC226D"/>
    <w:p w14:paraId="6BA018B2">
      <w:pPr>
        <w:spacing w:after="120"/>
        <w:jc w:val="both"/>
      </w:pPr>
      <w:r>
        <w:rPr>
          <w:b/>
          <w:bCs/>
          <w:sz w:val="24"/>
          <w:szCs w:val="24"/>
        </w:rPr>
        <w:t>Y CONSIDERANDO:</w:t>
      </w:r>
    </w:p>
    <w:p w14:paraId="6ADBE4A1"/>
    <w:p w14:paraId="15A9D316">
      <w:pPr>
        <w:spacing w:after="120"/>
        <w:ind w:firstLine="720"/>
        <w:jc w:val="both"/>
      </w:pPr>
      <w:r>
        <w:rPr>
          <w:b/>
          <w:bCs/>
          <w:sz w:val="24"/>
          <w:szCs w:val="24"/>
        </w:rPr>
        <w:t xml:space="preserve">Que </w:t>
      </w:r>
      <w:r>
        <w:rPr>
          <w:sz w:val="24"/>
          <w:szCs w:val="24"/>
        </w:rPr>
        <w:t>el artículo 60 de la Carta Orgánica Municipal establece, para determinadas ordenanzas de especial relevancia, un procedimiento de doble lectura con mayoría especial, que exige la celebración de una audiencia pública entre la primera y la segunda lectura;</w:t>
      </w:r>
    </w:p>
    <w:p w14:paraId="239DC1D0"/>
    <w:p w14:paraId="5F0C3EC3">
      <w:pPr>
        <w:spacing w:after="120"/>
        <w:ind w:firstLine="720"/>
        <w:jc w:val="both"/>
      </w:pPr>
      <w:r>
        <w:rPr>
          <w:b/>
          <w:bCs/>
          <w:sz w:val="24"/>
          <w:szCs w:val="24"/>
        </w:rPr>
        <w:t xml:space="preserve">Que </w:t>
      </w:r>
      <w:r>
        <w:rPr>
          <w:sz w:val="24"/>
          <w:szCs w:val="24"/>
        </w:rPr>
        <w:t>por su parte, el artículo 58 de la Carta Orgánica Municipal contempla el tratamiento de urgencia de proyectos de ordenanza, conforme al cual, si el proyecto no es expresamente tratado y desechado dentro de los sesenta (60) días corridos de presentada la solicitud de tratamiento de urgencia, se lo tiene por aprobado;</w:t>
      </w:r>
    </w:p>
    <w:p w14:paraId="29B4B126"/>
    <w:p w14:paraId="66B52091">
      <w:pPr>
        <w:spacing w:after="120"/>
        <w:ind w:firstLine="720"/>
        <w:jc w:val="both"/>
      </w:pPr>
      <w:r>
        <w:rPr>
          <w:b/>
          <w:bCs/>
          <w:sz w:val="24"/>
          <w:szCs w:val="24"/>
        </w:rPr>
        <w:t xml:space="preserve">Que </w:t>
      </w:r>
      <w:r>
        <w:rPr>
          <w:sz w:val="24"/>
          <w:szCs w:val="24"/>
        </w:rPr>
        <w:t>el propio Preámbulo de la Carta Orgánica Municipal establece la organización del Municipio de Hernando bajo la vigencia del sistema democrático, pluralista y participativo;</w:t>
      </w:r>
    </w:p>
    <w:p w14:paraId="5779C128"/>
    <w:p w14:paraId="643EC3C0">
      <w:pPr>
        <w:spacing w:after="120"/>
        <w:ind w:firstLine="720"/>
        <w:jc w:val="both"/>
      </w:pPr>
      <w:r>
        <w:rPr>
          <w:b/>
          <w:bCs/>
          <w:sz w:val="24"/>
          <w:szCs w:val="24"/>
        </w:rPr>
        <w:t xml:space="preserve">Que </w:t>
      </w:r>
      <w:r>
        <w:rPr>
          <w:sz w:val="24"/>
          <w:szCs w:val="24"/>
        </w:rPr>
        <w:t>el artículo 15 de la Carta Orgánica Municipal dispone que el Municipio promueve y garantiza la participación política y social de los vecinos en el desarrollo de la política local, respetando su capacidad para aportar ideas y propuestas que mejoren su funcionamiento, y crea los institutos y organizaciones necesarios para el ejercicio de ese derecho;</w:t>
      </w:r>
    </w:p>
    <w:p w14:paraId="353C8D06"/>
    <w:p w14:paraId="645C002E">
      <w:pPr>
        <w:spacing w:after="120"/>
        <w:ind w:firstLine="720"/>
        <w:jc w:val="both"/>
      </w:pPr>
      <w:r>
        <w:rPr>
          <w:b/>
          <w:bCs/>
          <w:sz w:val="24"/>
          <w:szCs w:val="24"/>
        </w:rPr>
        <w:t xml:space="preserve">Que </w:t>
      </w:r>
      <w:r>
        <w:rPr>
          <w:sz w:val="24"/>
          <w:szCs w:val="24"/>
        </w:rPr>
        <w:t>la audiencia pública, prevista y regulada por los artículos 215 y subsiguientes de la Carta Orgánica Municipal, constituye uno de los institutos fundamentales de participación ciudadana, en cuanto garantiza a los vecinos el acceso a la información y el aporte de ideas y propuestas;</w:t>
      </w:r>
    </w:p>
    <w:p w14:paraId="42182572"/>
    <w:p w14:paraId="20360CF5">
      <w:pPr>
        <w:spacing w:after="120"/>
        <w:ind w:firstLine="720"/>
        <w:jc w:val="both"/>
      </w:pPr>
      <w:r>
        <w:rPr>
          <w:b/>
          <w:bCs/>
          <w:sz w:val="24"/>
          <w:szCs w:val="24"/>
        </w:rPr>
        <w:t xml:space="preserve">Que </w:t>
      </w:r>
      <w:r>
        <w:rPr>
          <w:sz w:val="24"/>
          <w:szCs w:val="24"/>
        </w:rPr>
        <w:t>la aplicación del tratamiento de urgencia a proyectos alcanzados por el procedimiento del artículo 60 podría derivar en la aprobación de ordenanzas fundamentales para el desarrollo del Municipio sin la celebración de la audiencia pública, privando a la ciudadanía de una instancia esencial de participación;</w:t>
      </w:r>
    </w:p>
    <w:p w14:paraId="3D37AB82"/>
    <w:p w14:paraId="6C19E0D9">
      <w:pPr>
        <w:spacing w:after="120"/>
        <w:ind w:firstLine="720"/>
        <w:jc w:val="both"/>
      </w:pPr>
      <w:r>
        <w:rPr>
          <w:b/>
          <w:bCs/>
          <w:sz w:val="24"/>
          <w:szCs w:val="24"/>
        </w:rPr>
        <w:t xml:space="preserve">Que </w:t>
      </w:r>
      <w:r>
        <w:rPr>
          <w:sz w:val="24"/>
          <w:szCs w:val="24"/>
        </w:rPr>
        <w:t>la presente Ordenanza complementa lo dispuesto por la Carta Orgánica Municipal, garantizando el derecho de la ciudadanía a participar en la sanción de ordenanzas fundamentales para el desarrollo del Municipio y de la sociedad en su conjunto;</w:t>
      </w:r>
    </w:p>
    <w:p w14:paraId="65FBFE6B"/>
    <w:p w14:paraId="3C926E2A">
      <w:pPr>
        <w:spacing w:after="120"/>
        <w:ind w:firstLine="720"/>
        <w:jc w:val="both"/>
      </w:pPr>
      <w:r>
        <w:rPr>
          <w:b/>
          <w:bCs/>
          <w:sz w:val="24"/>
          <w:szCs w:val="24"/>
        </w:rPr>
        <w:t xml:space="preserve">Que </w:t>
      </w:r>
      <w:r>
        <w:rPr>
          <w:sz w:val="24"/>
          <w:szCs w:val="24"/>
        </w:rPr>
        <w:t xml:space="preserve">el Concejo Deliberante se encuentra facultado para sancionar ordenanzas que amplíen y profundicen los mecanismos de participación ciudadana, siempre que respeten los límites, los contenidos esenciales y el espíritu de la Carta Orgánica Municipal y no contradigan sus garantías fundamentales, conforme al principio de progresividad, según el cual los derechos reconocidos constituyen un piso mínimo de garantías que las ordenanzas dictadas por este órgano deliberativo pueden mejorar o ampliar, reconociendo nuevos </w:t>
      </w:r>
      <w:bookmarkStart w:id="0" w:name="_GoBack"/>
      <w:r>
        <w:rPr>
          <w:sz w:val="24"/>
          <w:szCs w:val="24"/>
        </w:rPr>
        <w:t>mecanismos de participación sin restringir, alterar ni suprimir los derechos ya establecidos;</w:t>
      </w:r>
    </w:p>
    <w:bookmarkEnd w:id="0"/>
    <w:p w14:paraId="36362305"/>
    <w:p w14:paraId="06A1BF22">
      <w:pPr>
        <w:spacing w:before="120" w:after="120"/>
        <w:jc w:val="center"/>
      </w:pPr>
      <w:r>
        <w:rPr>
          <w:b/>
          <w:bCs/>
          <w:sz w:val="24"/>
          <w:szCs w:val="24"/>
        </w:rPr>
        <w:t>ATENTO A ELLO:</w:t>
      </w:r>
    </w:p>
    <w:p w14:paraId="5EDE632F"/>
    <w:p w14:paraId="38CA3DD2">
      <w:pPr>
        <w:spacing w:before="120" w:after="120"/>
        <w:jc w:val="center"/>
      </w:pPr>
      <w:r>
        <w:rPr>
          <w:b/>
          <w:bCs/>
          <w:sz w:val="24"/>
          <w:szCs w:val="24"/>
        </w:rPr>
        <w:t>EL CONCEJO DELIBERANTE DE LA CIUDAD DE HERNANDO EN USO DE SUS ATRIBUCIONES SANCIONA CON FUERZA DE</w:t>
      </w:r>
    </w:p>
    <w:p w14:paraId="43FDC609">
      <w:pPr>
        <w:spacing w:before="120" w:after="120"/>
        <w:jc w:val="center"/>
      </w:pPr>
      <w:r>
        <w:rPr>
          <w:b/>
          <w:bCs/>
          <w:sz w:val="24"/>
          <w:szCs w:val="24"/>
        </w:rPr>
        <w:t>ORDENANZA:</w:t>
      </w:r>
    </w:p>
    <w:p w14:paraId="16AA2E8D"/>
    <w:p w14:paraId="4BC4479B">
      <w:pPr>
        <w:spacing w:after="120"/>
        <w:jc w:val="both"/>
      </w:pPr>
      <w:r>
        <w:rPr>
          <w:b/>
          <w:bCs/>
          <w:sz w:val="24"/>
          <w:szCs w:val="24"/>
        </w:rPr>
        <w:t xml:space="preserve">ARTÍCULO 1°) ESTABLÉCESE </w:t>
      </w:r>
      <w:r>
        <w:rPr>
          <w:sz w:val="24"/>
          <w:szCs w:val="24"/>
        </w:rPr>
        <w:t>que respecto de los proyectos de ordenanza alcanzados por el procedimiento de doble lectura previsto en el artículo 60 de la Carta Orgánica Municipal que fueran ingresados al Concejo Deliberante bajo el tratamiento de urgencia contemplado en el artículo 58 de la misma, será obligatoria la realización de la audiencia pública prevista en los artículos 215 y subsiguientes de la Carta Orgánica Municipal antes del vencimiento de los plazos estipulados en el citado artículo 58, aun en los casos en que el proyecto no hubiera sido tratado por el Cuerpo.-</w:t>
      </w:r>
    </w:p>
    <w:p w14:paraId="455EAA92"/>
    <w:p w14:paraId="4328A129">
      <w:pPr>
        <w:spacing w:after="120"/>
        <w:jc w:val="both"/>
      </w:pPr>
      <w:r>
        <w:rPr>
          <w:b/>
          <w:bCs/>
          <w:sz w:val="24"/>
          <w:szCs w:val="24"/>
        </w:rPr>
        <w:t xml:space="preserve">ARTÍCULO 2°) DISPÓNESE </w:t>
      </w:r>
      <w:r>
        <w:rPr>
          <w:sz w:val="24"/>
          <w:szCs w:val="24"/>
        </w:rPr>
        <w:t>que la audiencia pública establecida en el Artículo 1° de la presente Ordenanza deberá celebrarse en fecha anterior a la prevista para la finalización del período de sesiones ordinarias del Concejo Deliberante, conforme al artículo 43 inciso b) de la Carta Orgánica Municipal, en un lugar, día y horario que garanticen la mayor participación posible de los vecinos.-</w:t>
      </w:r>
    </w:p>
    <w:p w14:paraId="1B065521"/>
    <w:p w14:paraId="7335C6D0">
      <w:pPr>
        <w:spacing w:after="120"/>
        <w:jc w:val="both"/>
      </w:pPr>
      <w:r>
        <w:rPr>
          <w:b/>
          <w:bCs/>
          <w:sz w:val="24"/>
          <w:szCs w:val="24"/>
        </w:rPr>
        <w:t>ARTÍCULO 3°) De forma.-</w:t>
      </w:r>
    </w:p>
    <w:sectPr>
      <w:pgSz w:w="11906" w:h="16838"/>
      <w:pgMar w:top="1417" w:right="1417" w:bottom="1417" w:left="141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A7E"/>
    <w:rsid w:val="00073A7E"/>
    <w:rsid w:val="001431E2"/>
    <w:rsid w:val="090B642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List Paragraph"/>
  </w:latentStyles>
  <w:style w:type="paragraph" w:default="1" w:styleId="1">
    <w:name w:val="Normal"/>
    <w:qFormat/>
    <w:uiPriority w:val="0"/>
    <w:rPr>
      <w:rFonts w:ascii="Times New Roman" w:hAnsi="Times New Roman" w:eastAsia="Times New Roman" w:cs="Times New Roman"/>
      <w:lang w:val="es-ES" w:eastAsia="es-ES" w:bidi="ar-SA"/>
    </w:rPr>
  </w:style>
  <w:style w:type="paragraph" w:styleId="2">
    <w:name w:val="heading 1"/>
    <w:qFormat/>
    <w:uiPriority w:val="0"/>
    <w:pPr>
      <w:outlineLvl w:val="0"/>
    </w:pPr>
    <w:rPr>
      <w:rFonts w:ascii="Times New Roman" w:hAnsi="Times New Roman" w:eastAsia="Times New Roman" w:cs="Times New Roman"/>
      <w:color w:val="2E74B5"/>
      <w:sz w:val="32"/>
      <w:szCs w:val="32"/>
      <w:lang w:val="es-ES" w:eastAsia="es-ES" w:bidi="ar-SA"/>
    </w:rPr>
  </w:style>
  <w:style w:type="paragraph" w:styleId="3">
    <w:name w:val="heading 2"/>
    <w:qFormat/>
    <w:uiPriority w:val="0"/>
    <w:pPr>
      <w:outlineLvl w:val="1"/>
    </w:pPr>
    <w:rPr>
      <w:rFonts w:ascii="Times New Roman" w:hAnsi="Times New Roman" w:eastAsia="Times New Roman" w:cs="Times New Roman"/>
      <w:color w:val="2E74B5"/>
      <w:sz w:val="26"/>
      <w:szCs w:val="26"/>
      <w:lang w:val="es-ES" w:eastAsia="es-ES" w:bidi="ar-SA"/>
    </w:rPr>
  </w:style>
  <w:style w:type="paragraph" w:styleId="4">
    <w:name w:val="heading 3"/>
    <w:qFormat/>
    <w:uiPriority w:val="0"/>
    <w:pPr>
      <w:outlineLvl w:val="2"/>
    </w:pPr>
    <w:rPr>
      <w:rFonts w:ascii="Times New Roman" w:hAnsi="Times New Roman" w:eastAsia="Times New Roman" w:cs="Times New Roman"/>
      <w:color w:val="1F4D78"/>
      <w:sz w:val="24"/>
      <w:szCs w:val="24"/>
      <w:lang w:val="es-ES" w:eastAsia="es-ES" w:bidi="ar-SA"/>
    </w:rPr>
  </w:style>
  <w:style w:type="paragraph" w:styleId="5">
    <w:name w:val="heading 4"/>
    <w:qFormat/>
    <w:uiPriority w:val="0"/>
    <w:pPr>
      <w:outlineLvl w:val="3"/>
    </w:pPr>
    <w:rPr>
      <w:rFonts w:ascii="Times New Roman" w:hAnsi="Times New Roman" w:eastAsia="Times New Roman" w:cs="Times New Roman"/>
      <w:i/>
      <w:iCs/>
      <w:color w:val="2E74B5"/>
      <w:lang w:val="es-ES" w:eastAsia="es-ES" w:bidi="ar-SA"/>
    </w:rPr>
  </w:style>
  <w:style w:type="paragraph" w:styleId="6">
    <w:name w:val="heading 5"/>
    <w:qFormat/>
    <w:uiPriority w:val="0"/>
    <w:pPr>
      <w:outlineLvl w:val="4"/>
    </w:pPr>
    <w:rPr>
      <w:rFonts w:ascii="Times New Roman" w:hAnsi="Times New Roman" w:eastAsia="Times New Roman" w:cs="Times New Roman"/>
      <w:color w:val="2E74B5"/>
      <w:lang w:val="es-ES" w:eastAsia="es-ES" w:bidi="ar-SA"/>
    </w:rPr>
  </w:style>
  <w:style w:type="paragraph" w:styleId="7">
    <w:name w:val="heading 6"/>
    <w:qFormat/>
    <w:uiPriority w:val="0"/>
    <w:pPr>
      <w:outlineLvl w:val="5"/>
    </w:pPr>
    <w:rPr>
      <w:rFonts w:ascii="Times New Roman" w:hAnsi="Times New Roman" w:eastAsia="Times New Roman" w:cs="Times New Roman"/>
      <w:color w:val="1F4D78"/>
      <w:lang w:val="es-ES" w:eastAsia="es-ES"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character" w:styleId="11">
    <w:name w:val="footnote reference"/>
    <w:semiHidden/>
    <w:unhideWhenUsed/>
    <w:qFormat/>
    <w:uiPriority w:val="99"/>
    <w:rPr>
      <w:vertAlign w:val="superscript"/>
    </w:rPr>
  </w:style>
  <w:style w:type="character" w:styleId="12">
    <w:name w:val="Hyperlink"/>
    <w:unhideWhenUsed/>
    <w:qFormat/>
    <w:uiPriority w:val="99"/>
    <w:rPr>
      <w:color w:val="0563C1"/>
      <w:u w:val="single"/>
    </w:rPr>
  </w:style>
  <w:style w:type="paragraph" w:styleId="13">
    <w:name w:val="footnote text"/>
    <w:link w:val="18"/>
    <w:semiHidden/>
    <w:unhideWhenUsed/>
    <w:qFormat/>
    <w:uiPriority w:val="99"/>
    <w:rPr>
      <w:rFonts w:ascii="Times New Roman" w:hAnsi="Times New Roman" w:eastAsia="Times New Roman" w:cs="Times New Roman"/>
      <w:lang w:val="es-ES" w:eastAsia="es-ES" w:bidi="ar-SA"/>
    </w:rPr>
  </w:style>
  <w:style w:type="paragraph" w:styleId="14">
    <w:name w:val="endnote text"/>
    <w:link w:val="19"/>
    <w:semiHidden/>
    <w:unhideWhenUsed/>
    <w:qFormat/>
    <w:uiPriority w:val="99"/>
    <w:rPr>
      <w:rFonts w:ascii="Times New Roman" w:hAnsi="Times New Roman" w:eastAsia="Times New Roman" w:cs="Times New Roman"/>
      <w:lang w:val="es-ES" w:eastAsia="es-ES" w:bidi="ar-SA"/>
    </w:rPr>
  </w:style>
  <w:style w:type="paragraph" w:styleId="15">
    <w:name w:val="Title"/>
    <w:qFormat/>
    <w:uiPriority w:val="0"/>
    <w:rPr>
      <w:rFonts w:ascii="Times New Roman" w:hAnsi="Times New Roman" w:eastAsia="Times New Roman" w:cs="Times New Roman"/>
      <w:sz w:val="56"/>
      <w:szCs w:val="56"/>
      <w:lang w:val="es-ES" w:eastAsia="es-ES" w:bidi="ar-SA"/>
    </w:rPr>
  </w:style>
  <w:style w:type="paragraph" w:customStyle="1" w:styleId="16">
    <w:name w:val="Texto en negrita1"/>
    <w:qFormat/>
    <w:uiPriority w:val="0"/>
    <w:rPr>
      <w:rFonts w:ascii="Times New Roman" w:hAnsi="Times New Roman" w:eastAsia="Times New Roman" w:cs="Times New Roman"/>
      <w:b/>
      <w:bCs/>
      <w:lang w:val="es-ES" w:eastAsia="es-ES" w:bidi="ar-SA"/>
    </w:rPr>
  </w:style>
  <w:style w:type="paragraph" w:styleId="17">
    <w:name w:val="List Paragraph"/>
    <w:qFormat/>
    <w:uiPriority w:val="0"/>
    <w:rPr>
      <w:rFonts w:ascii="Times New Roman" w:hAnsi="Times New Roman" w:eastAsia="Times New Roman" w:cs="Times New Roman"/>
      <w:lang w:val="es-ES" w:eastAsia="es-ES" w:bidi="ar-SA"/>
    </w:rPr>
  </w:style>
  <w:style w:type="character" w:customStyle="1" w:styleId="18">
    <w:name w:val="Texto nota pie Car"/>
    <w:link w:val="13"/>
    <w:semiHidden/>
    <w:unhideWhenUsed/>
    <w:qFormat/>
    <w:uiPriority w:val="99"/>
    <w:rPr>
      <w:sz w:val="20"/>
      <w:szCs w:val="20"/>
    </w:rPr>
  </w:style>
  <w:style w:type="character" w:customStyle="1" w:styleId="19">
    <w:name w:val="Texto nota al final Car"/>
    <w:link w:val="14"/>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644</Words>
  <Characters>3520</Characters>
  <Lines>29</Lines>
  <Paragraphs>8</Paragraphs>
  <TotalTime>2</TotalTime>
  <ScaleCrop>false</ScaleCrop>
  <LinksUpToDate>false</LinksUpToDate>
  <CharactersWithSpaces>4146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2026-08-11T13:31:00Z</dcterms:created>
  <dc:creator>Un-named</dc:creator>
  <cp:lastModifiedBy>Usuario</cp:lastModifiedBy>
  <dcterms:modified xsi:type="dcterms:W3CDTF">2026-08-20T01:48:23Z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3082-12.1.0.28032</vt:lpwstr>
  </property>
  <property fmtid="{D5CDD505-2E9C-101B-9397-08002B2CF9AE}" pid="3" name="ICV">
    <vt:lpwstr>9FC80FB6DB5F44BF8E9C8E8794E53203_13</vt:lpwstr>
  </property>
</Properties>
</file>