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PROYECTO DE ORDENANZA</w:t>
      </w:r>
    </w:p>
    <w:p w:rsidR="00000000" w:rsidDel="00000000" w:rsidP="00000000" w:rsidRDefault="00000000" w:rsidRPr="00000000" w14:paraId="00000002">
      <w:pPr>
        <w:spacing w:after="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VISTO:</w:t>
      </w:r>
      <w:r w:rsidDel="00000000" w:rsidR="00000000" w:rsidRPr="00000000">
        <w:rPr>
          <w:rFonts w:ascii="Times New Roman" w:cs="Times New Roman" w:eastAsia="Times New Roman" w:hAnsi="Times New Roman"/>
          <w:sz w:val="24"/>
          <w:szCs w:val="24"/>
          <w:rtl w:val="0"/>
        </w:rPr>
        <w:t xml:space="preserve"> La necesidad de regular el procedimiento aplicable a los vehículos, motovehículos, maquinarias y demás bienes secuestrados o retirados de la vía pública dentro del ejido de la Municipalidad de Hernando; y lo dispuesto por la normativa nacional y provincial vigente en materia de tránsito, seguridad vial, registración de automotores y disposición de bienes muebles.</w:t>
      </w:r>
    </w:p>
    <w:p w:rsidR="00000000" w:rsidDel="00000000" w:rsidP="00000000" w:rsidRDefault="00000000" w:rsidRPr="00000000" w14:paraId="00000004">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Y CONSIDERANDO:</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6">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Que</w:t>
      </w:r>
      <w:r w:rsidDel="00000000" w:rsidR="00000000" w:rsidRPr="00000000">
        <w:rPr>
          <w:rFonts w:ascii="Times New Roman" w:cs="Times New Roman" w:eastAsia="Times New Roman" w:hAnsi="Times New Roman"/>
          <w:sz w:val="24"/>
          <w:szCs w:val="24"/>
          <w:rtl w:val="0"/>
        </w:rPr>
        <w:t xml:space="preserve"> resulta imperioso establecer un marco normativo claro, sistemático y operativo que regule la guarda, registración, disposición final, subasta y/o destrucción de los bienes bajo custodia municipal;</w:t>
      </w:r>
    </w:p>
    <w:p w:rsidR="00000000" w:rsidDel="00000000" w:rsidP="00000000" w:rsidRDefault="00000000" w:rsidRPr="00000000" w14:paraId="00000008">
      <w:pPr>
        <w:spacing w:after="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Que</w:t>
      </w:r>
      <w:r w:rsidDel="00000000" w:rsidR="00000000" w:rsidRPr="00000000">
        <w:rPr>
          <w:rFonts w:ascii="Times New Roman" w:cs="Times New Roman" w:eastAsia="Times New Roman" w:hAnsi="Times New Roman"/>
          <w:sz w:val="24"/>
          <w:szCs w:val="24"/>
          <w:rtl w:val="0"/>
        </w:rPr>
        <w:t xml:space="preserve"> la acumulación de vehículos y elementos abandonados genera costos económicos significativos para el erario público, además de riesgos ambientales, sanitarios y de seguridad urbana;</w:t>
      </w:r>
    </w:p>
    <w:p w:rsidR="00000000" w:rsidDel="00000000" w:rsidP="00000000" w:rsidRDefault="00000000" w:rsidRPr="00000000" w14:paraId="0000000A">
      <w:pPr>
        <w:spacing w:after="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Que</w:t>
      </w:r>
      <w:r w:rsidDel="00000000" w:rsidR="00000000" w:rsidRPr="00000000">
        <w:rPr>
          <w:rFonts w:ascii="Times New Roman" w:cs="Times New Roman" w:eastAsia="Times New Roman" w:hAnsi="Times New Roman"/>
          <w:sz w:val="24"/>
          <w:szCs w:val="24"/>
          <w:rtl w:val="0"/>
        </w:rPr>
        <w:t xml:space="preserve">, si bien se debe garantizar el derecho de propiedad de los titulares registrales mediante procedimientos transparentes, ante su inacción prolongada, el Estado Municipal debe contar con herramientas legales para optimizar sus recursos; </w:t>
      </w:r>
    </w:p>
    <w:p w:rsidR="00000000" w:rsidDel="00000000" w:rsidP="00000000" w:rsidRDefault="00000000" w:rsidRPr="00000000" w14:paraId="0000000C">
      <w:pPr>
        <w:spacing w:after="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Que</w:t>
      </w:r>
      <w:r w:rsidDel="00000000" w:rsidR="00000000" w:rsidRPr="00000000">
        <w:rPr>
          <w:rFonts w:ascii="Times New Roman" w:cs="Times New Roman" w:eastAsia="Times New Roman" w:hAnsi="Times New Roman"/>
          <w:sz w:val="24"/>
          <w:szCs w:val="24"/>
          <w:rtl w:val="0"/>
        </w:rPr>
        <w:t xml:space="preserve"> la incorporación de la </w:t>
      </w:r>
      <w:r w:rsidDel="00000000" w:rsidR="00000000" w:rsidRPr="00000000">
        <w:rPr>
          <w:rFonts w:ascii="Times New Roman" w:cs="Times New Roman" w:eastAsia="Times New Roman" w:hAnsi="Times New Roman"/>
          <w:b w:val="1"/>
          <w:bCs w:val="1"/>
          <w:sz w:val="24"/>
          <w:szCs w:val="24"/>
          <w:rtl w:val="0"/>
        </w:rPr>
        <w:t xml:space="preserve">subasta electrónica</w:t>
      </w:r>
      <w:r w:rsidDel="00000000" w:rsidR="00000000" w:rsidRPr="00000000">
        <w:rPr>
          <w:rFonts w:ascii="Times New Roman" w:cs="Times New Roman" w:eastAsia="Times New Roman" w:hAnsi="Times New Roman"/>
          <w:sz w:val="24"/>
          <w:szCs w:val="24"/>
          <w:rtl w:val="0"/>
        </w:rPr>
        <w:t xml:space="preserve"> moderniza la gestión pública y garantiza una mayor concurrencia y transparencia en la enajenación de bienes;</w:t>
      </w:r>
    </w:p>
    <w:p w:rsidR="00000000" w:rsidDel="00000000" w:rsidP="00000000" w:rsidRDefault="00000000" w:rsidRPr="00000000" w14:paraId="0000000E">
      <w:pPr>
        <w:spacing w:after="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Que</w:t>
      </w:r>
      <w:r w:rsidDel="00000000" w:rsidR="00000000" w:rsidRPr="00000000">
        <w:rPr>
          <w:rFonts w:ascii="Times New Roman" w:cs="Times New Roman" w:eastAsia="Times New Roman" w:hAnsi="Times New Roman"/>
          <w:sz w:val="24"/>
          <w:szCs w:val="24"/>
          <w:rtl w:val="0"/>
        </w:rPr>
        <w:t xml:space="preserve"> es facultad del Municipio regular el uso del espacio público y la gestión de los bienes que, por infracciones o abandono, quedan bajo su órbita, en un todo de acuerdo a la Carta Orgánica Municipal;</w:t>
      </w:r>
    </w:p>
    <w:p w:rsidR="00000000" w:rsidDel="00000000" w:rsidP="00000000" w:rsidRDefault="00000000" w:rsidRPr="00000000" w14:paraId="00000010">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ATENTO A ELLO, EL CONCEJO DELIBERANTE DE LA CIUDAD DE HERNANDO SANCIONA CON FUERZA DE ORDENANZA:</w:t>
      </w:r>
    </w:p>
    <w:p w:rsidR="00000000" w:rsidDel="00000000" w:rsidP="00000000" w:rsidRDefault="00000000" w:rsidRPr="00000000" w14:paraId="00000013">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CAPÍTULO I – OBJETO Y ÁMBITO DE APLICACIÓN</w:t>
      </w:r>
    </w:p>
    <w:p w:rsidR="00000000" w:rsidDel="00000000" w:rsidP="00000000" w:rsidRDefault="00000000" w:rsidRPr="00000000" w14:paraId="00000015">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Artículo 1°) Objeto.</w:t>
      </w:r>
      <w:r w:rsidDel="00000000" w:rsidR="00000000" w:rsidRPr="00000000">
        <w:rPr>
          <w:rFonts w:ascii="Times New Roman" w:cs="Times New Roman" w:eastAsia="Times New Roman" w:hAnsi="Times New Roman"/>
          <w:sz w:val="24"/>
          <w:szCs w:val="24"/>
          <w:rtl w:val="0"/>
        </w:rPr>
        <w:t xml:space="preserve"> La presente Ordenanza regula el procedimiento de secuestro, guarda, registración, disposición, subasta pública (presencial o electrónica) y/o destrucción de vehículos automotores, motocicletas, maquinarias agrícolas, acoplados, remolques, autopartes, rezagos y demás bienes muebles retirados de la vía pública o propiedad privada por orden de autoridad competente.-</w:t>
      </w:r>
    </w:p>
    <w:p w:rsidR="00000000" w:rsidDel="00000000" w:rsidP="00000000" w:rsidRDefault="00000000" w:rsidRPr="00000000" w14:paraId="00000017">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Artículo 2°) Exclusiones.</w:t>
      </w:r>
      <w:r w:rsidDel="00000000" w:rsidR="00000000" w:rsidRPr="00000000">
        <w:rPr>
          <w:rFonts w:ascii="Times New Roman" w:cs="Times New Roman" w:eastAsia="Times New Roman" w:hAnsi="Times New Roman"/>
          <w:sz w:val="24"/>
          <w:szCs w:val="24"/>
          <w:rtl w:val="0"/>
        </w:rPr>
        <w:t xml:space="preserve"> Quedan expresamente excluidos de este régimen: </w:t>
      </w:r>
    </w:p>
    <w:p w:rsidR="00000000" w:rsidDel="00000000" w:rsidP="00000000" w:rsidRDefault="00000000" w:rsidRPr="00000000" w14:paraId="00000019">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Bienes afectados a causas judiciales penales. </w:t>
      </w:r>
    </w:p>
    <w:p w:rsidR="00000000" w:rsidDel="00000000" w:rsidP="00000000" w:rsidRDefault="00000000" w:rsidRPr="00000000" w14:paraId="0000001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Aquellos cuya disposición dependa exclusivamente de autoridad judicial. </w:t>
      </w:r>
    </w:p>
    <w:p w:rsidR="00000000" w:rsidDel="00000000" w:rsidP="00000000" w:rsidRDefault="00000000" w:rsidRPr="00000000" w14:paraId="0000001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Vehículos con numeración de motor o chasis </w:t>
      </w:r>
      <w:r w:rsidDel="00000000" w:rsidR="00000000" w:rsidRPr="00000000">
        <w:rPr>
          <w:rFonts w:ascii="Times New Roman" w:cs="Times New Roman" w:eastAsia="Times New Roman" w:hAnsi="Times New Roman"/>
          <w:b w:val="1"/>
          <w:bCs w:val="1"/>
          <w:sz w:val="24"/>
          <w:szCs w:val="24"/>
          <w:rtl w:val="0"/>
        </w:rPr>
        <w:t xml:space="preserve">adulterada</w:t>
      </w:r>
      <w:r w:rsidDel="00000000" w:rsidR="00000000" w:rsidRPr="00000000">
        <w:rPr>
          <w:rFonts w:ascii="Times New Roman" w:cs="Times New Roman" w:eastAsia="Times New Roman" w:hAnsi="Times New Roman"/>
          <w:sz w:val="24"/>
          <w:szCs w:val="24"/>
          <w:rtl w:val="0"/>
        </w:rPr>
        <w:t xml:space="preserve">, los cuales deben ponerse a disposición de las autoridades competentes. </w:t>
      </w:r>
    </w:p>
    <w:p w:rsidR="00000000" w:rsidDel="00000000" w:rsidP="00000000" w:rsidRDefault="00000000" w:rsidRPr="00000000" w14:paraId="0000001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Animales.-</w:t>
      </w:r>
    </w:p>
    <w:p w:rsidR="00000000" w:rsidDel="00000000" w:rsidP="00000000" w:rsidRDefault="00000000" w:rsidRPr="00000000" w14:paraId="0000001E">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CAPÍTULO II – AUTORIDAD DE APLICACIÓN</w:t>
      </w:r>
    </w:p>
    <w:p w:rsidR="00000000" w:rsidDel="00000000" w:rsidP="00000000" w:rsidRDefault="00000000" w:rsidRPr="00000000" w14:paraId="00000020">
      <w:pPr>
        <w:spacing w:after="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Artículo 3°) Autoridad de Aplicación.</w:t>
      </w:r>
      <w:r w:rsidDel="00000000" w:rsidR="00000000" w:rsidRPr="00000000">
        <w:rPr>
          <w:rFonts w:ascii="Times New Roman" w:cs="Times New Roman" w:eastAsia="Times New Roman" w:hAnsi="Times New Roman"/>
          <w:sz w:val="24"/>
          <w:szCs w:val="24"/>
          <w:rtl w:val="0"/>
        </w:rPr>
        <w:t xml:space="preserve"> Será la </w:t>
      </w:r>
      <w:r w:rsidDel="00000000" w:rsidR="00000000" w:rsidRPr="00000000">
        <w:rPr>
          <w:rFonts w:ascii="Times New Roman" w:cs="Times New Roman" w:eastAsia="Times New Roman" w:hAnsi="Times New Roman"/>
          <w:b w:val="1"/>
          <w:bCs w:val="1"/>
          <w:sz w:val="24"/>
          <w:szCs w:val="24"/>
          <w:rtl w:val="0"/>
        </w:rPr>
        <w:t xml:space="preserve">Secretaría de Gobierno</w:t>
      </w:r>
      <w:r w:rsidDel="00000000" w:rsidR="00000000" w:rsidRPr="00000000">
        <w:rPr>
          <w:rFonts w:ascii="Times New Roman" w:cs="Times New Roman" w:eastAsia="Times New Roman" w:hAnsi="Times New Roman"/>
          <w:sz w:val="24"/>
          <w:szCs w:val="24"/>
          <w:rtl w:val="0"/>
        </w:rPr>
        <w:t xml:space="preserve"> de la Municipalidad de Hernando, con intervención del Tribunal Administrativo de Faltas en los casos de infracciones a la normativa local.-</w:t>
      </w:r>
    </w:p>
    <w:p w:rsidR="00000000" w:rsidDel="00000000" w:rsidP="00000000" w:rsidRDefault="00000000" w:rsidRPr="00000000" w14:paraId="00000022">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CAPÍTULO III – PROCEDIMIENTO DE SECUESTRO Y REGISTRO</w:t>
      </w:r>
    </w:p>
    <w:p w:rsidR="00000000" w:rsidDel="00000000" w:rsidP="00000000" w:rsidRDefault="00000000" w:rsidRPr="00000000" w14:paraId="00000024">
      <w:pPr>
        <w:spacing w:after="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Artículo 4°) Custodia e Inventario.</w:t>
      </w:r>
      <w:r w:rsidDel="00000000" w:rsidR="00000000" w:rsidRPr="00000000">
        <w:rPr>
          <w:rFonts w:ascii="Times New Roman" w:cs="Times New Roman" w:eastAsia="Times New Roman" w:hAnsi="Times New Roman"/>
          <w:sz w:val="24"/>
          <w:szCs w:val="24"/>
          <w:rtl w:val="0"/>
        </w:rPr>
        <w:t xml:space="preserve"> Todo bien retirado por infracción, abandono o riesgo para la seguridad será trasladado a dependencias municipales. </w:t>
      </w:r>
    </w:p>
    <w:p w:rsidR="00000000" w:rsidDel="00000000" w:rsidP="00000000" w:rsidRDefault="00000000" w:rsidRPr="00000000" w14:paraId="0000002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Autoridad de Aplicación confeccionará un </w:t>
      </w:r>
      <w:r w:rsidDel="00000000" w:rsidR="00000000" w:rsidRPr="00000000">
        <w:rPr>
          <w:rFonts w:ascii="Times New Roman" w:cs="Times New Roman" w:eastAsia="Times New Roman" w:hAnsi="Times New Roman"/>
          <w:b w:val="1"/>
          <w:bCs w:val="1"/>
          <w:sz w:val="24"/>
          <w:szCs w:val="24"/>
          <w:rtl w:val="0"/>
        </w:rPr>
        <w:t xml:space="preserve">Registro e Inventario de Guarda</w:t>
      </w:r>
      <w:r w:rsidDel="00000000" w:rsidR="00000000" w:rsidRPr="00000000">
        <w:rPr>
          <w:rFonts w:ascii="Times New Roman" w:cs="Times New Roman" w:eastAsia="Times New Roman" w:hAnsi="Times New Roman"/>
          <w:sz w:val="24"/>
          <w:szCs w:val="24"/>
          <w:rtl w:val="0"/>
        </w:rPr>
        <w:t xml:space="preserve"> que incluya: </w:t>
      </w:r>
    </w:p>
    <w:p w:rsidR="00000000" w:rsidDel="00000000" w:rsidP="00000000" w:rsidRDefault="00000000" w:rsidRPr="00000000" w14:paraId="00000027">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Detalle individualizado del bien (marca, modelo, chasis, motor y dominio). </w:t>
      </w:r>
    </w:p>
    <w:p w:rsidR="00000000" w:rsidDel="00000000" w:rsidP="00000000" w:rsidRDefault="00000000" w:rsidRPr="00000000" w14:paraId="0000002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Datos del titular registral y del acta de secuestro. </w:t>
      </w:r>
    </w:p>
    <w:p w:rsidR="00000000" w:rsidDel="00000000" w:rsidP="00000000" w:rsidRDefault="00000000" w:rsidRPr="00000000" w14:paraId="0000002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Estado general del bien y datos del supuesto infractor.</w:t>
      </w:r>
    </w:p>
    <w:p w:rsidR="00000000" w:rsidDel="00000000" w:rsidP="00000000" w:rsidRDefault="00000000" w:rsidRPr="00000000" w14:paraId="0000002B">
      <w:pPr>
        <w:spacing w:after="0" w:line="240" w:lineRule="auto"/>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d) Archivos fotograficos y filmicos</w:t>
      </w:r>
    </w:p>
    <w:p w:rsidR="00000000" w:rsidDel="00000000" w:rsidP="00000000" w:rsidRDefault="00000000" w:rsidRPr="00000000" w14:paraId="0000002C">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Artículo 5°) Informes Registrales.</w:t>
      </w:r>
      <w:r w:rsidDel="00000000" w:rsidR="00000000" w:rsidRPr="00000000">
        <w:rPr>
          <w:rFonts w:ascii="Times New Roman" w:cs="Times New Roman" w:eastAsia="Times New Roman" w:hAnsi="Times New Roman"/>
          <w:sz w:val="24"/>
          <w:szCs w:val="24"/>
          <w:rtl w:val="0"/>
        </w:rPr>
        <w:t xml:space="preserve"> En caso de bienes identificables, se requerirán informes a la DNRPA sobre titularidad y gravámenes. Se notificará a los titulares, acreedores prendarios o embargantes sobre la situación del bien.-</w:t>
      </w:r>
    </w:p>
    <w:p w:rsidR="00000000" w:rsidDel="00000000" w:rsidP="00000000" w:rsidRDefault="00000000" w:rsidRPr="00000000" w14:paraId="0000002E">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CAPÍTULO IV – DERECHO DE ESTADÍA Y RETIRO</w:t>
      </w:r>
    </w:p>
    <w:p w:rsidR="00000000" w:rsidDel="00000000" w:rsidP="00000000" w:rsidRDefault="00000000" w:rsidRPr="00000000" w14:paraId="00000030">
      <w:pPr>
        <w:spacing w:after="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Artículo 6°) Derecho de Estadía.</w:t>
      </w:r>
      <w:r w:rsidDel="00000000" w:rsidR="00000000" w:rsidRPr="00000000">
        <w:rPr>
          <w:rFonts w:ascii="Times New Roman" w:cs="Times New Roman" w:eastAsia="Times New Roman" w:hAnsi="Times New Roman"/>
          <w:sz w:val="24"/>
          <w:szCs w:val="24"/>
          <w:rtl w:val="0"/>
        </w:rPr>
        <w:t xml:space="preserve"> El depósito genera el cobro de un canon por estadía según la Ordenanza Tarifaria vigente, el cual debe abonarse junto con multas, gastos de traslado y honorarios profesionales antes del retiro.-</w:t>
      </w:r>
    </w:p>
    <w:p w:rsidR="00000000" w:rsidDel="00000000" w:rsidP="00000000" w:rsidRDefault="00000000" w:rsidRPr="00000000" w14:paraId="00000032">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Artículo 7º) Requisitos para el Retiro.</w:t>
      </w:r>
      <w:r w:rsidDel="00000000" w:rsidR="00000000" w:rsidRPr="00000000">
        <w:rPr>
          <w:rFonts w:ascii="Times New Roman" w:cs="Times New Roman" w:eastAsia="Times New Roman" w:hAnsi="Times New Roman"/>
          <w:sz w:val="24"/>
          <w:szCs w:val="24"/>
          <w:rtl w:val="0"/>
        </w:rPr>
        <w:t xml:space="preserve"> Para autorizar la entrega, el interesado debe acreditar fehacientemente su calidad de propietario o poseedor y presentar la resolución de la Justicia Contravencional que autorice la medida.-</w:t>
      </w:r>
    </w:p>
    <w:p w:rsidR="00000000" w:rsidDel="00000000" w:rsidP="00000000" w:rsidRDefault="00000000" w:rsidRPr="00000000" w14:paraId="00000034">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CAPÍTULO V – DECLARACIÓN DE ABANDONO Y SUBASTA</w:t>
      </w:r>
    </w:p>
    <w:p w:rsidR="00000000" w:rsidDel="00000000" w:rsidP="00000000" w:rsidRDefault="00000000" w:rsidRPr="00000000" w14:paraId="00000036">
      <w:pPr>
        <w:spacing w:after="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7">
      <w:pPr>
        <w:spacing w:after="0" w:line="240" w:lineRule="auto"/>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b w:val="1"/>
          <w:bCs w:val="1"/>
          <w:sz w:val="24"/>
          <w:szCs w:val="24"/>
          <w:rtl w:val="0"/>
        </w:rPr>
        <w:t xml:space="preserve">Artículo 8°) Estado de Abandono.</w:t>
      </w:r>
      <w:r w:rsidDel="00000000" w:rsidR="00000000" w:rsidRPr="00000000">
        <w:rPr>
          <w:rFonts w:ascii="Times New Roman" w:cs="Times New Roman" w:eastAsia="Times New Roman" w:hAnsi="Times New Roman"/>
          <w:sz w:val="24"/>
          <w:szCs w:val="24"/>
          <w:rtl w:val="0"/>
        </w:rPr>
        <w:t xml:space="preserve"> Se considerarán en estado de abandono aquellos bienes que no hayan sido retirados en un plazo de </w:t>
      </w:r>
      <w:r w:rsidDel="00000000" w:rsidR="00000000" w:rsidRPr="00000000">
        <w:rPr>
          <w:rFonts w:ascii="Times New Roman" w:cs="Times New Roman" w:eastAsia="Times New Roman" w:hAnsi="Times New Roman"/>
          <w:b w:val="1"/>
          <w:bCs w:val="1"/>
          <w:sz w:val="24"/>
          <w:szCs w:val="24"/>
          <w:rtl w:val="0"/>
        </w:rPr>
        <w:t xml:space="preserve">ciento veinte (120) días corridos</w:t>
      </w:r>
      <w:r w:rsidDel="00000000" w:rsidR="00000000" w:rsidRPr="00000000">
        <w:rPr>
          <w:rFonts w:ascii="Times New Roman" w:cs="Times New Roman" w:eastAsia="Times New Roman" w:hAnsi="Times New Roman"/>
          <w:sz w:val="24"/>
          <w:szCs w:val="24"/>
          <w:rtl w:val="0"/>
        </w:rPr>
        <w:t xml:space="preserve"> desde que la sentencia o resolución administrativa o judicial se encuentre firme.- </w:t>
      </w:r>
      <w:r w:rsidDel="00000000" w:rsidR="00000000" w:rsidRPr="00000000">
        <w:rPr>
          <w:rtl w:val="0"/>
        </w:rPr>
      </w:r>
    </w:p>
    <w:p w:rsidR="00000000" w:rsidDel="00000000" w:rsidP="00000000" w:rsidRDefault="00000000" w:rsidRPr="00000000" w14:paraId="00000038">
      <w:pPr>
        <w:spacing w:after="0" w:line="240" w:lineRule="auto"/>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3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Artículo 9°) Subasta.</w:t>
      </w:r>
      <w:r w:rsidDel="00000000" w:rsidR="00000000" w:rsidRPr="00000000">
        <w:rPr>
          <w:rFonts w:ascii="Times New Roman" w:cs="Times New Roman" w:eastAsia="Times New Roman" w:hAnsi="Times New Roman"/>
          <w:sz w:val="24"/>
          <w:szCs w:val="24"/>
          <w:rtl w:val="0"/>
        </w:rPr>
        <w:t xml:space="preserve"> Los bienes en estado de abandono podrán ser enajenados mediante </w:t>
      </w:r>
      <w:r w:rsidDel="00000000" w:rsidR="00000000" w:rsidRPr="00000000">
        <w:rPr>
          <w:rFonts w:ascii="Times New Roman" w:cs="Times New Roman" w:eastAsia="Times New Roman" w:hAnsi="Times New Roman"/>
          <w:b w:val="1"/>
          <w:bCs w:val="1"/>
          <w:sz w:val="24"/>
          <w:szCs w:val="24"/>
          <w:rtl w:val="0"/>
        </w:rPr>
        <w:t xml:space="preserve">subasta pública oficial o electrónica</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A">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w:t>
      </w:r>
      <w:r w:rsidDel="00000000" w:rsidR="00000000" w:rsidRPr="00000000">
        <w:rPr>
          <w:rFonts w:ascii="Times New Roman" w:cs="Times New Roman" w:eastAsia="Times New Roman" w:hAnsi="Times New Roman"/>
          <w:b w:val="1"/>
          <w:bCs w:val="1"/>
          <w:sz w:val="24"/>
          <w:szCs w:val="24"/>
          <w:rtl w:val="0"/>
        </w:rPr>
        <w:t xml:space="preserve">Martillero:</w:t>
      </w:r>
      <w:r w:rsidDel="00000000" w:rsidR="00000000" w:rsidRPr="00000000">
        <w:rPr>
          <w:rFonts w:ascii="Times New Roman" w:cs="Times New Roman" w:eastAsia="Times New Roman" w:hAnsi="Times New Roman"/>
          <w:sz w:val="24"/>
          <w:szCs w:val="24"/>
          <w:rtl w:val="0"/>
        </w:rPr>
        <w:t xml:space="preserve"> Será designado por el Ejecutivo Municipal y percibirá el </w:t>
      </w:r>
      <w:r w:rsidDel="00000000" w:rsidR="00000000" w:rsidRPr="00000000">
        <w:rPr>
          <w:rFonts w:ascii="Times New Roman" w:cs="Times New Roman" w:eastAsia="Times New Roman" w:hAnsi="Times New Roman"/>
          <w:b w:val="1"/>
          <w:bCs w:val="1"/>
          <w:sz w:val="24"/>
          <w:szCs w:val="24"/>
          <w:rtl w:val="0"/>
        </w:rPr>
        <w:t xml:space="preserve">10% de honorarios</w:t>
      </w:r>
      <w:r w:rsidDel="00000000" w:rsidR="00000000" w:rsidRPr="00000000">
        <w:rPr>
          <w:rFonts w:ascii="Times New Roman" w:cs="Times New Roman" w:eastAsia="Times New Roman" w:hAnsi="Times New Roman"/>
          <w:sz w:val="24"/>
          <w:szCs w:val="24"/>
          <w:rtl w:val="0"/>
        </w:rPr>
        <w:t xml:space="preserve"> a cargo del comprador. </w:t>
      </w:r>
    </w:p>
    <w:p w:rsidR="00000000" w:rsidDel="00000000" w:rsidP="00000000" w:rsidRDefault="00000000" w:rsidRPr="00000000" w14:paraId="0000003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w:t>
      </w:r>
      <w:r w:rsidDel="00000000" w:rsidR="00000000" w:rsidRPr="00000000">
        <w:rPr>
          <w:rFonts w:ascii="Times New Roman" w:cs="Times New Roman" w:eastAsia="Times New Roman" w:hAnsi="Times New Roman"/>
          <w:b w:val="1"/>
          <w:bCs w:val="1"/>
          <w:sz w:val="24"/>
          <w:szCs w:val="24"/>
          <w:rtl w:val="0"/>
        </w:rPr>
        <w:t xml:space="preserve">Rendición de Cuentas:</w:t>
      </w:r>
      <w:r w:rsidDel="00000000" w:rsidR="00000000" w:rsidRPr="00000000">
        <w:rPr>
          <w:rFonts w:ascii="Times New Roman" w:cs="Times New Roman" w:eastAsia="Times New Roman" w:hAnsi="Times New Roman"/>
          <w:sz w:val="24"/>
          <w:szCs w:val="24"/>
          <w:rtl w:val="0"/>
        </w:rPr>
        <w:t xml:space="preserve"> El Martillero deberá rendir cuentas de su gestión a Tesorería Municipal para su aprobación dentro del plazo de cuarenta y ocho (48) horas hábiles de efectuada la subasta, debiendo adjuntar la planilla con el resultado de la misma junto a los gastos generados y sus respectivos comprobantes. Una vez aprobada la liquidación por parte de Tesorería Municipal, dentro de las veinticuatro horas (24) hábiles posteriores presentará ante esta repartición el saldo del remate. También deberá adjuntar la factura del importe de sus honorarios para que estos resulten liquidados luego de formalizarse los procesos administrativos correspondientes.</w:t>
      </w:r>
    </w:p>
    <w:p w:rsidR="00000000" w:rsidDel="00000000" w:rsidP="00000000" w:rsidRDefault="00000000" w:rsidRPr="00000000" w14:paraId="0000003D">
      <w:pPr>
        <w:spacing w:line="48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w:t>
      </w:r>
      <w:r w:rsidDel="00000000" w:rsidR="00000000" w:rsidRPr="00000000">
        <w:rPr>
          <w:rFonts w:ascii="Times New Roman" w:cs="Times New Roman" w:eastAsia="Times New Roman" w:hAnsi="Times New Roman"/>
          <w:b w:val="1"/>
          <w:bCs w:val="1"/>
          <w:sz w:val="24"/>
          <w:szCs w:val="24"/>
          <w:rtl w:val="0"/>
        </w:rPr>
        <w:t xml:space="preserve">Participación Municipal:</w:t>
      </w:r>
      <w:r w:rsidDel="00000000" w:rsidR="00000000" w:rsidRPr="00000000">
        <w:rPr>
          <w:rFonts w:ascii="Times New Roman" w:cs="Times New Roman" w:eastAsia="Times New Roman" w:hAnsi="Times New Roman"/>
          <w:sz w:val="24"/>
          <w:szCs w:val="24"/>
          <w:rtl w:val="0"/>
        </w:rPr>
        <w:t xml:space="preserve"> El D.E.M. podrá participar de la subasta, utilizando como crédito las tasas municipales adeudadas, los gastos ocasionados, la deuda originada a raíz de la infracción y toda otra generada por el titular cuyo bien se remata a favor del municipio. </w:t>
      </w:r>
    </w:p>
    <w:p w:rsidR="00000000" w:rsidDel="00000000" w:rsidP="00000000" w:rsidRDefault="00000000" w:rsidRPr="00000000" w14:paraId="0000003F">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Así el Tribunal Administrativo de Faltas ante el requerimiento del D.E.M. </w:t>
      </w:r>
      <w:r w:rsidDel="00000000" w:rsidR="00000000" w:rsidRPr="00000000">
        <w:rPr>
          <w:rFonts w:ascii="Times New Roman" w:cs="Times New Roman" w:eastAsia="Times New Roman" w:hAnsi="Times New Roman"/>
          <w:sz w:val="24"/>
          <w:szCs w:val="24"/>
          <w:u w:val="single"/>
          <w:rtl w:val="0"/>
        </w:rPr>
        <w:t xml:space="preserve">permitirá </w:t>
      </w:r>
      <w:r w:rsidDel="00000000" w:rsidR="00000000" w:rsidRPr="00000000">
        <w:rPr>
          <w:rFonts w:ascii="Times New Roman" w:cs="Times New Roman" w:eastAsia="Times New Roman" w:hAnsi="Times New Roman"/>
          <w:sz w:val="24"/>
          <w:szCs w:val="24"/>
          <w:rtl w:val="0"/>
        </w:rPr>
        <w:t xml:space="preserve">la eximición de consignar al Estado Municipal hasta el monto de la liquidación aprobada si resultare adjudicatario.</w:t>
      </w:r>
      <w:r w:rsidDel="00000000" w:rsidR="00000000" w:rsidRPr="00000000">
        <w:rPr>
          <w:rtl w:val="0"/>
        </w:rPr>
      </w:r>
    </w:p>
    <w:p w:rsidR="00000000" w:rsidDel="00000000" w:rsidP="00000000" w:rsidRDefault="00000000" w:rsidRPr="00000000" w14:paraId="00000040">
      <w:pPr>
        <w:spacing w:after="0" w:line="240" w:lineRule="auto"/>
        <w:jc w:val="both"/>
        <w:rPr>
          <w:rFonts w:ascii="Times New Roman" w:cs="Times New Roman" w:eastAsia="Times New Roman" w:hAnsi="Times New Roman"/>
          <w:sz w:val="24"/>
          <w:szCs w:val="24"/>
        </w:rPr>
      </w:pPr>
      <w:bookmarkStart w:colFirst="0" w:colLast="0" w:name="_heading=h.qgej682o6o0" w:id="0"/>
      <w:bookmarkEnd w:id="0"/>
      <w:r w:rsidDel="00000000" w:rsidR="00000000" w:rsidRPr="00000000">
        <w:rPr>
          <w:rFonts w:ascii="Times New Roman" w:cs="Times New Roman" w:eastAsia="Times New Roman" w:hAnsi="Times New Roman"/>
          <w:sz w:val="24"/>
          <w:szCs w:val="24"/>
          <w:rtl w:val="0"/>
        </w:rPr>
        <w:t xml:space="preserve">d) </w:t>
      </w:r>
      <w:r w:rsidDel="00000000" w:rsidR="00000000" w:rsidRPr="00000000">
        <w:rPr>
          <w:rFonts w:ascii="Times New Roman" w:cs="Times New Roman" w:eastAsia="Times New Roman" w:hAnsi="Times New Roman"/>
          <w:b w:val="1"/>
          <w:bCs w:val="1"/>
          <w:sz w:val="24"/>
          <w:szCs w:val="24"/>
          <w:rtl w:val="0"/>
        </w:rPr>
        <w:t xml:space="preserve">Imputación:</w:t>
      </w:r>
      <w:r w:rsidDel="00000000" w:rsidR="00000000" w:rsidRPr="00000000">
        <w:rPr>
          <w:rFonts w:ascii="Times New Roman" w:cs="Times New Roman" w:eastAsia="Times New Roman" w:hAnsi="Times New Roman"/>
          <w:sz w:val="24"/>
          <w:szCs w:val="24"/>
          <w:rtl w:val="0"/>
        </w:rPr>
        <w:t xml:space="preserve"> El importe resultante, de la destrucción y/o venta, se imputará a la deuda que mantenga el titular registral o propietario del bien en concepto de tasas, cargos por custodia y gastos administrativos generados al Municipio. </w:t>
      </w:r>
    </w:p>
    <w:p w:rsidR="00000000" w:rsidDel="00000000" w:rsidP="00000000" w:rsidRDefault="00000000" w:rsidRPr="00000000" w14:paraId="0000004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 formulada la imputación resultare crédito a favor del titular, dicho monto será aplicado al saldo deudor de otras obligaciones exigibles entre el mismo y el Municipio </w:t>
      </w:r>
      <w:r w:rsidDel="00000000" w:rsidR="00000000" w:rsidRPr="00000000">
        <w:rPr>
          <w:rFonts w:ascii="Times New Roman" w:cs="Times New Roman" w:eastAsia="Times New Roman" w:hAnsi="Times New Roman"/>
          <w:b w:val="1"/>
          <w:bCs w:val="1"/>
          <w:sz w:val="24"/>
          <w:szCs w:val="24"/>
          <w:rtl w:val="0"/>
        </w:rPr>
        <w:t xml:space="preserve">previo informe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Finalizado ello y resultando saldo a favor del titular, el Municipio procederá a la entrega del mismo.</w:t>
      </w:r>
    </w:p>
    <w:p w:rsidR="00000000" w:rsidDel="00000000" w:rsidP="00000000" w:rsidRDefault="00000000" w:rsidRPr="00000000" w14:paraId="0000004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caso de imposibilidad de individualización del titular o dueño del bien destruido o subastado el saldo resultante quedara en depósito por un plazo de 120 días. </w:t>
      </w:r>
    </w:p>
    <w:p w:rsidR="00000000" w:rsidDel="00000000" w:rsidP="00000000" w:rsidRDefault="00000000" w:rsidRPr="00000000" w14:paraId="0000004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Vencido dicho plazo el municipio podrá disponer del monto conforme el destino previsto en el art. 14 de la presente. </w:t>
      </w:r>
    </w:p>
    <w:p w:rsidR="00000000" w:rsidDel="00000000" w:rsidP="00000000" w:rsidRDefault="00000000" w:rsidRPr="00000000" w14:paraId="00000045">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Artículo 10°) Documentación.</w:t>
      </w:r>
      <w:r w:rsidDel="00000000" w:rsidR="00000000" w:rsidRPr="00000000">
        <w:rPr>
          <w:rFonts w:ascii="Times New Roman" w:cs="Times New Roman" w:eastAsia="Times New Roman" w:hAnsi="Times New Roman"/>
          <w:sz w:val="24"/>
          <w:szCs w:val="24"/>
          <w:rtl w:val="0"/>
        </w:rPr>
        <w:t xml:space="preserve"> El adjudicatario recibirá copia certificada del acto administrativo, acta de subasta y constancia de entrega para su registración.-</w:t>
      </w:r>
    </w:p>
    <w:p w:rsidR="00000000" w:rsidDel="00000000" w:rsidP="00000000" w:rsidRDefault="00000000" w:rsidRPr="00000000" w14:paraId="00000047">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CAPÍTULO VI – DESTRUCCIÓN DE BIENES</w:t>
      </w:r>
    </w:p>
    <w:p w:rsidR="00000000" w:rsidDel="00000000" w:rsidP="00000000" w:rsidRDefault="00000000" w:rsidRPr="00000000" w14:paraId="0000004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Artículo 11°) Procedencia de la Destrucción.</w:t>
      </w:r>
      <w:r w:rsidDel="00000000" w:rsidR="00000000" w:rsidRPr="00000000">
        <w:rPr>
          <w:rFonts w:ascii="Times New Roman" w:cs="Times New Roman" w:eastAsia="Times New Roman" w:hAnsi="Times New Roman"/>
          <w:sz w:val="24"/>
          <w:szCs w:val="24"/>
          <w:rtl w:val="0"/>
        </w:rPr>
        <w:t xml:space="preserve"> El Ejecutivo podrá disponer la destrucción (compactación) cuando: </w:t>
      </w:r>
    </w:p>
    <w:p w:rsidR="00000000" w:rsidDel="00000000" w:rsidP="00000000" w:rsidRDefault="00000000" w:rsidRPr="00000000" w14:paraId="0000004A">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Sea </w:t>
      </w:r>
      <w:r w:rsidDel="00000000" w:rsidR="00000000" w:rsidRPr="00000000">
        <w:rPr>
          <w:rFonts w:ascii="Times New Roman" w:cs="Times New Roman" w:eastAsia="Times New Roman" w:hAnsi="Times New Roman"/>
          <w:b w:val="1"/>
          <w:bCs w:val="1"/>
          <w:sz w:val="24"/>
          <w:szCs w:val="24"/>
          <w:rtl w:val="0"/>
        </w:rPr>
        <w:t xml:space="preserve">antieconómica</w:t>
      </w:r>
      <w:r w:rsidDel="00000000" w:rsidR="00000000" w:rsidRPr="00000000">
        <w:rPr>
          <w:rFonts w:ascii="Times New Roman" w:cs="Times New Roman" w:eastAsia="Times New Roman" w:hAnsi="Times New Roman"/>
          <w:sz w:val="24"/>
          <w:szCs w:val="24"/>
          <w:rtl w:val="0"/>
        </w:rPr>
        <w:t xml:space="preserve"> su venta o no existan oferentes en la subasta. </w:t>
      </w:r>
    </w:p>
    <w:p w:rsidR="00000000" w:rsidDel="00000000" w:rsidP="00000000" w:rsidRDefault="00000000" w:rsidRPr="00000000" w14:paraId="0000004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Exista un deterioro grave que implique riesgo para la salud o el ambiente. </w:t>
      </w:r>
    </w:p>
    <w:p w:rsidR="00000000" w:rsidDel="00000000" w:rsidP="00000000" w:rsidRDefault="00000000" w:rsidRPr="00000000" w14:paraId="0000004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El bien permanezca más de seis (6) meses en depósito. </w:t>
      </w:r>
    </w:p>
    <w:p w:rsidR="00000000" w:rsidDel="00000000" w:rsidP="00000000" w:rsidRDefault="00000000" w:rsidRPr="00000000" w14:paraId="0000004E">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Artículo 12°) Motores.</w:t>
      </w:r>
      <w:r w:rsidDel="00000000" w:rsidR="00000000" w:rsidRPr="00000000">
        <w:rPr>
          <w:rFonts w:ascii="Times New Roman" w:cs="Times New Roman" w:eastAsia="Times New Roman" w:hAnsi="Times New Roman"/>
          <w:sz w:val="24"/>
          <w:szCs w:val="24"/>
          <w:rtl w:val="0"/>
        </w:rPr>
        <w:t xml:space="preserve"> Los motores podrán ser destinados a cursos de capacitación o fabricación de herramientas, siempre que no vuelvan a utilizarse para su fin originario.-</w:t>
      </w:r>
    </w:p>
    <w:p w:rsidR="00000000" w:rsidDel="00000000" w:rsidP="00000000" w:rsidRDefault="00000000" w:rsidRPr="00000000" w14:paraId="00000050">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CAPÍTULO VII – PUBLICIDAD Y FONDOS</w:t>
      </w:r>
    </w:p>
    <w:p w:rsidR="00000000" w:rsidDel="00000000" w:rsidP="00000000" w:rsidRDefault="00000000" w:rsidRPr="00000000" w14:paraId="00000052">
      <w:pPr>
        <w:spacing w:after="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Artículo 13°) Publicidad.</w:t>
      </w:r>
      <w:r w:rsidDel="00000000" w:rsidR="00000000" w:rsidRPr="00000000">
        <w:rPr>
          <w:rFonts w:ascii="Times New Roman" w:cs="Times New Roman" w:eastAsia="Times New Roman" w:hAnsi="Times New Roman"/>
          <w:sz w:val="24"/>
          <w:szCs w:val="24"/>
          <w:rtl w:val="0"/>
        </w:rPr>
        <w:t xml:space="preserve"> El listado de bienes a subastar o destruir se publicará en la web municipal (mínimo 5 días) y en el Boletín Oficial (al menos una vez) antes de proceder a la disposición final.-</w:t>
      </w:r>
    </w:p>
    <w:p w:rsidR="00000000" w:rsidDel="00000000" w:rsidP="00000000" w:rsidRDefault="00000000" w:rsidRPr="00000000" w14:paraId="00000054">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Artículo 14°)  Destino de los Fondos. </w:t>
      </w:r>
      <w:r w:rsidDel="00000000" w:rsidR="00000000" w:rsidRPr="00000000">
        <w:rPr>
          <w:rFonts w:ascii="Times New Roman" w:cs="Times New Roman" w:eastAsia="Times New Roman" w:hAnsi="Times New Roman"/>
          <w:sz w:val="24"/>
          <w:szCs w:val="24"/>
          <w:rtl w:val="0"/>
        </w:rPr>
        <w:t xml:space="preserve">Los fondos que ingresen a la Municipalidad de Hernando como consecuencia de la aplicación de la presente Ordenanza, conforme a lo establecido en el artículo precedente, serán imputados a la Partida Presupuestaria N° 2.4.2 - Ingresos Varios, de acuerdo al Presupuesto General vigente.-</w:t>
      </w:r>
    </w:p>
    <w:p w:rsidR="00000000" w:rsidDel="00000000" w:rsidP="00000000" w:rsidRDefault="00000000" w:rsidRPr="00000000" w14:paraId="00000056">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CAPÍTULO VIII – DISPOSICIONES COMPLEMENTARIAS Y TRANSITORIAS</w:t>
      </w:r>
    </w:p>
    <w:p w:rsidR="00000000" w:rsidDel="00000000" w:rsidP="00000000" w:rsidRDefault="00000000" w:rsidRPr="00000000" w14:paraId="00000058">
      <w:pPr>
        <w:spacing w:after="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Artículo 15°) Entrega Voluntaria.</w:t>
      </w:r>
      <w:r w:rsidDel="00000000" w:rsidR="00000000" w:rsidRPr="00000000">
        <w:rPr>
          <w:rFonts w:ascii="Times New Roman" w:cs="Times New Roman" w:eastAsia="Times New Roman" w:hAnsi="Times New Roman"/>
          <w:sz w:val="24"/>
          <w:szCs w:val="24"/>
          <w:rtl w:val="0"/>
        </w:rPr>
        <w:t xml:space="preserve"> Los propietarios podrán someterse voluntariamente al proceso de destrucción, previa baja registral y pago de las deudas correspondientes, mediante la suscripción de un acta de cesión.-</w:t>
      </w:r>
    </w:p>
    <w:p w:rsidR="00000000" w:rsidDel="00000000" w:rsidP="00000000" w:rsidRDefault="00000000" w:rsidRPr="00000000" w14:paraId="0000005A">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Artículo 16°) Retiro Previo.</w:t>
      </w:r>
      <w:r w:rsidDel="00000000" w:rsidR="00000000" w:rsidRPr="00000000">
        <w:rPr>
          <w:rFonts w:ascii="Times New Roman" w:cs="Times New Roman" w:eastAsia="Times New Roman" w:hAnsi="Times New Roman"/>
          <w:sz w:val="24"/>
          <w:szCs w:val="24"/>
          <w:rtl w:val="0"/>
        </w:rPr>
        <w:t xml:space="preserve"> El titular podrá recuperar el bien hasta el día hábil previo a la subasta o destrucción, cumplimentando todos los pagos y requisitos legales.-</w:t>
      </w:r>
    </w:p>
    <w:p w:rsidR="00000000" w:rsidDel="00000000" w:rsidP="00000000" w:rsidRDefault="00000000" w:rsidRPr="00000000" w14:paraId="0000005C">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Artículo 17°) Inventario Inicial.</w:t>
      </w:r>
      <w:r w:rsidDel="00000000" w:rsidR="00000000" w:rsidRPr="00000000">
        <w:rPr>
          <w:rFonts w:ascii="Times New Roman" w:cs="Times New Roman" w:eastAsia="Times New Roman" w:hAnsi="Times New Roman"/>
          <w:sz w:val="24"/>
          <w:szCs w:val="24"/>
          <w:rtl w:val="0"/>
        </w:rPr>
        <w:t xml:space="preserve"> La Autoridad de Aplicación deberá realizar un inventario inicial de los bienes existentes en depósitos municipales dentro de los </w:t>
      </w:r>
      <w:r w:rsidDel="00000000" w:rsidR="00000000" w:rsidRPr="00000000">
        <w:rPr>
          <w:rFonts w:ascii="Times New Roman" w:cs="Times New Roman" w:eastAsia="Times New Roman" w:hAnsi="Times New Roman"/>
          <w:b w:val="1"/>
          <w:bCs w:val="1"/>
          <w:sz w:val="24"/>
          <w:szCs w:val="24"/>
          <w:rtl w:val="0"/>
        </w:rPr>
        <w:t xml:space="preserve">quince (15) días hábiles</w:t>
      </w:r>
      <w:r w:rsidDel="00000000" w:rsidR="00000000" w:rsidRPr="00000000">
        <w:rPr>
          <w:rFonts w:ascii="Times New Roman" w:cs="Times New Roman" w:eastAsia="Times New Roman" w:hAnsi="Times New Roman"/>
          <w:sz w:val="24"/>
          <w:szCs w:val="24"/>
          <w:rtl w:val="0"/>
        </w:rPr>
        <w:t xml:space="preserve"> de entrada en vigencia de esta Ordenanza.-</w:t>
      </w:r>
    </w:p>
    <w:p w:rsidR="00000000" w:rsidDel="00000000" w:rsidP="00000000" w:rsidRDefault="00000000" w:rsidRPr="00000000" w14:paraId="0000005E">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Artículo 18°)</w:t>
      </w:r>
      <w:r w:rsidDel="00000000" w:rsidR="00000000" w:rsidRPr="00000000">
        <w:rPr>
          <w:rFonts w:ascii="Times New Roman" w:cs="Times New Roman" w:eastAsia="Times New Roman" w:hAnsi="Times New Roman"/>
          <w:sz w:val="24"/>
          <w:szCs w:val="24"/>
          <w:rtl w:val="0"/>
        </w:rPr>
        <w:t xml:space="preserve"> Comuníquese, publíquese y archívese.</w:t>
      </w:r>
    </w:p>
    <w:p w:rsidR="00000000" w:rsidDel="00000000" w:rsidP="00000000" w:rsidRDefault="00000000" w:rsidRPr="00000000" w14:paraId="00000060">
      <w:pPr>
        <w:ind w:left="708" w:hanging="708"/>
        <w:jc w:val="both"/>
        <w:rPr/>
      </w:pPr>
      <w:r w:rsidDel="00000000" w:rsidR="00000000" w:rsidRPr="00000000">
        <w:rPr>
          <w:rtl w:val="0"/>
        </w:rPr>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Ispe1UZDMqArepTOyIPpw4yiAg==">CgMxLjAyDWgucWdlajY4Mm82bzA4AHIhMUdCLTJRRE5xNVlBNnQ4QW9PVTBJdDRRYVp0YVdjenEw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